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644" w:rsidRPr="00923644" w:rsidRDefault="00923644" w:rsidP="00A676EC">
      <w:pPr>
        <w:spacing w:after="0" w:line="240" w:lineRule="auto"/>
        <w:rPr>
          <w:rStyle w:val="jlqj4b"/>
          <w:rFonts w:ascii="Times New Roman" w:hAnsi="Times New Roman" w:cs="Times New Roman"/>
          <w:b/>
          <w:sz w:val="24"/>
          <w:szCs w:val="24"/>
        </w:rPr>
      </w:pPr>
      <w:r w:rsidRPr="00923644">
        <w:rPr>
          <w:rStyle w:val="jlqj4b"/>
          <w:rFonts w:ascii="Times New Roman" w:hAnsi="Times New Roman" w:cs="Times New Roman"/>
          <w:b/>
          <w:sz w:val="24"/>
          <w:szCs w:val="24"/>
        </w:rPr>
        <w:t>Titre : La spectroscopie Raman in-situ pour le développement de catalyseurs</w:t>
      </w:r>
    </w:p>
    <w:p w:rsidR="00923644" w:rsidRDefault="00923644" w:rsidP="00A676EC">
      <w:pPr>
        <w:spacing w:after="0" w:line="240" w:lineRule="auto"/>
        <w:rPr>
          <w:rStyle w:val="jlqj4b"/>
          <w:rFonts w:ascii="Times New Roman" w:hAnsi="Times New Roman" w:cs="Times New Roman"/>
          <w:sz w:val="24"/>
          <w:szCs w:val="24"/>
        </w:rPr>
      </w:pPr>
    </w:p>
    <w:p w:rsidR="007F4FCC" w:rsidRPr="007E168D" w:rsidRDefault="007E168D" w:rsidP="00510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En combinant des mesures Raman </w:t>
      </w:r>
      <w:r w:rsidRPr="00923644">
        <w:rPr>
          <w:rStyle w:val="jlqj4b"/>
          <w:rFonts w:ascii="Times New Roman" w:hAnsi="Times New Roman" w:cs="Times New Roman"/>
          <w:i/>
          <w:sz w:val="24"/>
          <w:szCs w:val="24"/>
        </w:rPr>
        <w:t>in-situ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et de spectroscopie d'absorption des rayons X, </w:t>
      </w:r>
      <w:r w:rsidR="007F4FCC" w:rsidRPr="007E168D">
        <w:rPr>
          <w:rFonts w:ascii="Times New Roman" w:eastAsia="Times New Roman" w:hAnsi="Times New Roman" w:cs="Times New Roman"/>
          <w:sz w:val="24"/>
          <w:szCs w:val="24"/>
          <w:lang w:eastAsia="fr-FR"/>
        </w:rPr>
        <w:t>Damien Voiry et son équipe ont développé un nouveau catalyseur pour convertir sélectivement du CO</w:t>
      </w:r>
      <w:r w:rsidR="007F4FCC" w:rsidRPr="00923644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2</w:t>
      </w:r>
      <w:r w:rsidR="007F4FCC" w:rsidRPr="007E168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</w:t>
      </w:r>
      <w:r w:rsidR="00923644">
        <w:rPr>
          <w:rFonts w:ascii="Times New Roman" w:eastAsia="Times New Roman" w:hAnsi="Times New Roman" w:cs="Times New Roman"/>
          <w:sz w:val="24"/>
          <w:szCs w:val="24"/>
          <w:lang w:eastAsia="fr-FR"/>
        </w:rPr>
        <w:t>éthylène et éthanol</w:t>
      </w:r>
      <w:r w:rsidR="007F4FCC" w:rsidRPr="007E168D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7F4FCC" w:rsidRPr="007E168D" w:rsidRDefault="007F4FCC" w:rsidP="00510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F4FCC" w:rsidRPr="007F4FCC" w:rsidRDefault="007F4FCC" w:rsidP="00510F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E168D">
        <w:rPr>
          <w:rFonts w:ascii="Times New Roman" w:eastAsia="Times New Roman" w:hAnsi="Times New Roman" w:cs="Times New Roman"/>
          <w:sz w:val="24"/>
          <w:szCs w:val="24"/>
          <w:lang w:eastAsia="fr-FR"/>
        </w:rPr>
        <w:t>La conversion du CO</w:t>
      </w:r>
      <w:r w:rsidRPr="00923644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2</w:t>
      </w:r>
      <w:r w:rsidRPr="007E168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via des processus électrochimiques </w:t>
      </w:r>
      <w:r w:rsidR="00923644">
        <w:rPr>
          <w:rFonts w:ascii="Times New Roman" w:eastAsia="Times New Roman" w:hAnsi="Times New Roman" w:cs="Times New Roman"/>
          <w:sz w:val="24"/>
          <w:szCs w:val="24"/>
          <w:lang w:eastAsia="fr-FR"/>
        </w:rPr>
        <w:t>est une</w:t>
      </w:r>
      <w:r w:rsidRPr="007E168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technologie pertinente pour fermer le cycle du carbone ; en particulier lorsqu</w:t>
      </w:r>
      <w:r w:rsidR="00923644">
        <w:rPr>
          <w:rFonts w:ascii="Times New Roman" w:eastAsia="Times New Roman" w:hAnsi="Times New Roman" w:cs="Times New Roman"/>
          <w:sz w:val="24"/>
          <w:szCs w:val="24"/>
          <w:lang w:eastAsia="fr-FR"/>
        </w:rPr>
        <w:t>e celle-ci</w:t>
      </w:r>
      <w:r w:rsidRPr="007E168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combinée avec des sources d'énergie renouvelables. En raison de leurs valeurs marchandes élevées et de leur forte densité d’énergie, de nombreuses recherches vise</w:t>
      </w:r>
      <w:r w:rsidR="00923644">
        <w:rPr>
          <w:rFonts w:ascii="Times New Roman" w:eastAsia="Times New Roman" w:hAnsi="Times New Roman" w:cs="Times New Roman"/>
          <w:sz w:val="24"/>
          <w:szCs w:val="24"/>
          <w:lang w:eastAsia="fr-FR"/>
        </w:rPr>
        <w:t>nt</w:t>
      </w:r>
      <w:r w:rsidRPr="007E168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mettre au point des catalyseurs pour la conversion électrochimique du CO</w:t>
      </w:r>
      <w:r w:rsidRPr="00923644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2</w:t>
      </w:r>
      <w:r w:rsidRPr="007E168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molécules </w:t>
      </w:r>
      <w:proofErr w:type="spellStart"/>
      <w:r w:rsidRPr="007E168D">
        <w:rPr>
          <w:rFonts w:ascii="Times New Roman" w:eastAsia="Times New Roman" w:hAnsi="Times New Roman" w:cs="Times New Roman"/>
          <w:sz w:val="24"/>
          <w:szCs w:val="24"/>
          <w:lang w:eastAsia="fr-FR"/>
        </w:rPr>
        <w:t>multicarbonées</w:t>
      </w:r>
      <w:proofErr w:type="spellEnd"/>
      <w:r w:rsidRPr="007E168D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7E168D" w:rsidRPr="007E168D" w:rsidRDefault="007F4FCC" w:rsidP="00510FC3">
      <w:pPr>
        <w:spacing w:after="0" w:line="240" w:lineRule="auto"/>
        <w:jc w:val="both"/>
        <w:rPr>
          <w:rStyle w:val="viiyi"/>
          <w:rFonts w:ascii="Times New Roman" w:hAnsi="Times New Roman" w:cs="Times New Roman"/>
          <w:sz w:val="24"/>
          <w:szCs w:val="24"/>
        </w:rPr>
      </w:pP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Damien Voiry et son équipe ont proposé une nouvelle stratégie pour </w:t>
      </w:r>
      <w:r w:rsidR="00923644">
        <w:rPr>
          <w:rStyle w:val="jlqj4b"/>
          <w:rFonts w:ascii="Times New Roman" w:hAnsi="Times New Roman" w:cs="Times New Roman"/>
          <w:sz w:val="24"/>
          <w:szCs w:val="24"/>
        </w:rPr>
        <w:t>améliore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>r la conversion du CO</w:t>
      </w:r>
      <w:r w:rsidRPr="007E168D">
        <w:rPr>
          <w:rStyle w:val="jlqj4b"/>
          <w:rFonts w:ascii="Times New Roman" w:hAnsi="Times New Roman" w:cs="Times New Roman"/>
          <w:sz w:val="24"/>
          <w:szCs w:val="24"/>
          <w:vertAlign w:val="subscript"/>
        </w:rPr>
        <w:t>2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en molécules d'hydrocarbures avec deux ou plusieurs atomes de carbone (C</w:t>
      </w:r>
      <w:r w:rsidRPr="007E168D">
        <w:rPr>
          <w:rStyle w:val="jlqj4b"/>
          <w:rFonts w:ascii="Times New Roman" w:hAnsi="Times New Roman" w:cs="Times New Roman"/>
          <w:sz w:val="24"/>
          <w:szCs w:val="24"/>
          <w:vertAlign w:val="subscript"/>
        </w:rPr>
        <w:t>2+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) </w:t>
      </w:r>
      <w:r w:rsidR="007E168D" w:rsidRPr="00923644">
        <w:rPr>
          <w:rStyle w:val="jlqj4b"/>
          <w:rFonts w:ascii="Times New Roman" w:hAnsi="Times New Roman" w:cs="Times New Roman"/>
          <w:i/>
          <w:sz w:val="24"/>
          <w:szCs w:val="24"/>
        </w:rPr>
        <w:t>via</w:t>
      </w:r>
      <w:r w:rsidR="007E168D"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un dopage moléculaire d’un catalyseur métallique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>.</w:t>
      </w:r>
      <w:r w:rsidRPr="007E168D">
        <w:rPr>
          <w:rStyle w:val="viiyi"/>
          <w:rFonts w:ascii="Times New Roman" w:hAnsi="Times New Roman" w:cs="Times New Roman"/>
          <w:sz w:val="24"/>
          <w:szCs w:val="24"/>
        </w:rPr>
        <w:t xml:space="preserve"> </w:t>
      </w:r>
      <w:r w:rsidR="007E168D" w:rsidRPr="007E168D">
        <w:rPr>
          <w:rStyle w:val="jlqj4b"/>
          <w:rFonts w:ascii="Times New Roman" w:hAnsi="Times New Roman" w:cs="Times New Roman"/>
          <w:sz w:val="24"/>
          <w:szCs w:val="24"/>
        </w:rPr>
        <w:t>En particulier, ils ont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identifié </w:t>
      </w:r>
      <w:r w:rsidR="007E168D" w:rsidRPr="007E168D">
        <w:rPr>
          <w:rStyle w:val="jlqj4b"/>
          <w:rFonts w:ascii="Times New Roman" w:hAnsi="Times New Roman" w:cs="Times New Roman"/>
          <w:sz w:val="24"/>
          <w:szCs w:val="24"/>
        </w:rPr>
        <w:t>d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>e</w:t>
      </w:r>
      <w:bookmarkStart w:id="0" w:name="_GoBack"/>
      <w:bookmarkEnd w:id="0"/>
      <w:r w:rsidRPr="007E168D">
        <w:rPr>
          <w:rStyle w:val="jlqj4b"/>
          <w:rFonts w:ascii="Times New Roman" w:hAnsi="Times New Roman" w:cs="Times New Roman"/>
          <w:sz w:val="24"/>
          <w:szCs w:val="24"/>
        </w:rPr>
        <w:t>s groupe</w:t>
      </w:r>
      <w:r w:rsidR="007E168D" w:rsidRPr="007E168D">
        <w:rPr>
          <w:rStyle w:val="jlqj4b"/>
          <w:rFonts w:ascii="Times New Roman" w:hAnsi="Times New Roman" w:cs="Times New Roman"/>
          <w:sz w:val="24"/>
          <w:szCs w:val="24"/>
        </w:rPr>
        <w:t>ment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s fonctionnels </w:t>
      </w:r>
      <w:r w:rsidR="007E168D"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électrophiles qui </w:t>
      </w:r>
      <w:r w:rsidR="00923644">
        <w:rPr>
          <w:rStyle w:val="jlqj4b"/>
          <w:rFonts w:ascii="Times New Roman" w:hAnsi="Times New Roman" w:cs="Times New Roman"/>
          <w:sz w:val="24"/>
          <w:szCs w:val="24"/>
        </w:rPr>
        <w:t>permettent d’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>oriente</w:t>
      </w:r>
      <w:r w:rsidR="00923644">
        <w:rPr>
          <w:rStyle w:val="jlqj4b"/>
          <w:rFonts w:ascii="Times New Roman" w:hAnsi="Times New Roman" w:cs="Times New Roman"/>
          <w:sz w:val="24"/>
          <w:szCs w:val="24"/>
        </w:rPr>
        <w:t>r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l</w:t>
      </w:r>
      <w:r w:rsidR="007E168D" w:rsidRPr="007E168D">
        <w:rPr>
          <w:rStyle w:val="jlqj4b"/>
          <w:rFonts w:ascii="Times New Roman" w:hAnsi="Times New Roman" w:cs="Times New Roman"/>
          <w:sz w:val="24"/>
          <w:szCs w:val="24"/>
        </w:rPr>
        <w:t>es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réaction</w:t>
      </w:r>
      <w:r w:rsidR="007E168D" w:rsidRPr="007E168D">
        <w:rPr>
          <w:rStyle w:val="jlqj4b"/>
          <w:rFonts w:ascii="Times New Roman" w:hAnsi="Times New Roman" w:cs="Times New Roman"/>
          <w:sz w:val="24"/>
          <w:szCs w:val="24"/>
        </w:rPr>
        <w:t>s électrochimiques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vers la production d'espèces C</w:t>
      </w:r>
      <w:r w:rsidRPr="007E168D">
        <w:rPr>
          <w:rStyle w:val="jlqj4b"/>
          <w:rFonts w:ascii="Times New Roman" w:hAnsi="Times New Roman" w:cs="Times New Roman"/>
          <w:sz w:val="24"/>
          <w:szCs w:val="24"/>
          <w:vertAlign w:val="subscript"/>
        </w:rPr>
        <w:t>2+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telles que l'éthanol et l'éthylène et améliore</w:t>
      </w:r>
      <w:r w:rsidR="00923644">
        <w:rPr>
          <w:rStyle w:val="jlqj4b"/>
          <w:rFonts w:ascii="Times New Roman" w:hAnsi="Times New Roman" w:cs="Times New Roman"/>
          <w:sz w:val="24"/>
          <w:szCs w:val="24"/>
        </w:rPr>
        <w:t>nt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les vitesses de réaction à la surface du catalyseur.</w:t>
      </w:r>
      <w:r w:rsidRPr="007E168D">
        <w:rPr>
          <w:rStyle w:val="viiyi"/>
          <w:rFonts w:ascii="Times New Roman" w:hAnsi="Times New Roman" w:cs="Times New Roman"/>
          <w:sz w:val="24"/>
          <w:szCs w:val="24"/>
        </w:rPr>
        <w:t xml:space="preserve"> </w:t>
      </w:r>
    </w:p>
    <w:p w:rsidR="007E168D" w:rsidRPr="007E168D" w:rsidRDefault="007E168D" w:rsidP="00510FC3">
      <w:pPr>
        <w:spacing w:after="0" w:line="240" w:lineRule="auto"/>
        <w:jc w:val="both"/>
        <w:rPr>
          <w:rStyle w:val="viiyi"/>
          <w:rFonts w:ascii="Times New Roman" w:hAnsi="Times New Roman" w:cs="Times New Roman"/>
          <w:sz w:val="24"/>
          <w:szCs w:val="24"/>
        </w:rPr>
      </w:pPr>
    </w:p>
    <w:p w:rsidR="007E168D" w:rsidRPr="007E168D" w:rsidRDefault="007E168D" w:rsidP="00510FC3">
      <w:pPr>
        <w:spacing w:after="0" w:line="240" w:lineRule="auto"/>
        <w:jc w:val="both"/>
        <w:rPr>
          <w:rStyle w:val="jlqj4b"/>
          <w:rFonts w:ascii="Times New Roman" w:hAnsi="Times New Roman" w:cs="Times New Roman"/>
          <w:sz w:val="24"/>
          <w:szCs w:val="24"/>
        </w:rPr>
      </w:pPr>
      <w:r w:rsidRPr="007E168D">
        <w:rPr>
          <w:rStyle w:val="jlqj4b"/>
          <w:rFonts w:ascii="Times New Roman" w:hAnsi="Times New Roman" w:cs="Times New Roman"/>
          <w:sz w:val="24"/>
          <w:szCs w:val="24"/>
        </w:rPr>
        <w:t>L’équipe a ainsi pu atteindre</w:t>
      </w:r>
      <w:r w:rsidR="007F4FCC"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une efficacité faradique pour la formation de C</w:t>
      </w:r>
      <w:r w:rsidR="007F4FCC" w:rsidRPr="00923644">
        <w:rPr>
          <w:rStyle w:val="jlqj4b"/>
          <w:rFonts w:ascii="Times New Roman" w:hAnsi="Times New Roman" w:cs="Times New Roman"/>
          <w:sz w:val="24"/>
          <w:szCs w:val="24"/>
          <w:vertAlign w:val="subscript"/>
        </w:rPr>
        <w:t>2+</w:t>
      </w:r>
      <w:r w:rsidR="007F4FCC"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de ≈ 80% et efficacité énergétique 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>total</w:t>
      </w:r>
      <w:r w:rsidR="00923644">
        <w:rPr>
          <w:rStyle w:val="jlqj4b"/>
          <w:rFonts w:ascii="Times New Roman" w:hAnsi="Times New Roman" w:cs="Times New Roman"/>
          <w:sz w:val="24"/>
          <w:szCs w:val="24"/>
        </w:rPr>
        <w:t>e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</w:t>
      </w:r>
      <w:r w:rsidR="007F4FCC"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de 20,3 % </w:t>
      </w:r>
      <w:r w:rsidR="00923644">
        <w:rPr>
          <w:rStyle w:val="jlqj4b"/>
          <w:rFonts w:ascii="Times New Roman" w:hAnsi="Times New Roman" w:cs="Times New Roman"/>
          <w:sz w:val="24"/>
          <w:szCs w:val="24"/>
        </w:rPr>
        <w:t>pour</w:t>
      </w:r>
      <w:r w:rsidR="007F4FCC"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une densité de courant spécifique de 261,4 mA cm</w:t>
      </w:r>
      <w:r w:rsidR="007F4FCC" w:rsidRPr="007E168D">
        <w:rPr>
          <w:rStyle w:val="jlqj4b"/>
          <w:rFonts w:ascii="Times New Roman" w:hAnsi="Times New Roman" w:cs="Times New Roman"/>
          <w:sz w:val="24"/>
          <w:szCs w:val="24"/>
          <w:vertAlign w:val="superscript"/>
        </w:rPr>
        <w:t>-2</w:t>
      </w:r>
      <w:r w:rsidR="007F4FCC"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pour 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les produits </w:t>
      </w:r>
      <w:proofErr w:type="spellStart"/>
      <w:r w:rsidRPr="007E168D">
        <w:rPr>
          <w:rStyle w:val="jlqj4b"/>
          <w:rFonts w:ascii="Times New Roman" w:hAnsi="Times New Roman" w:cs="Times New Roman"/>
          <w:sz w:val="24"/>
          <w:szCs w:val="24"/>
        </w:rPr>
        <w:t>multicarbonés</w:t>
      </w:r>
      <w:proofErr w:type="spellEnd"/>
      <w:r w:rsidR="00923644">
        <w:rPr>
          <w:rStyle w:val="jlqj4b"/>
          <w:rFonts w:ascii="Times New Roman" w:hAnsi="Times New Roman" w:cs="Times New Roman"/>
          <w:sz w:val="24"/>
          <w:szCs w:val="24"/>
        </w:rPr>
        <w:t>. Ceci correspond à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une amélioration de près de 500% par rapport aux électrodes </w:t>
      </w:r>
      <w:r w:rsidR="00923644">
        <w:rPr>
          <w:rStyle w:val="jlqj4b"/>
          <w:rFonts w:ascii="Times New Roman" w:hAnsi="Times New Roman" w:cs="Times New Roman"/>
          <w:sz w:val="24"/>
          <w:szCs w:val="24"/>
        </w:rPr>
        <w:t>traditionnelles non-modifiées</w:t>
      </w:r>
      <w:r w:rsidR="007F4FCC" w:rsidRPr="007E168D">
        <w:rPr>
          <w:rStyle w:val="jlqj4b"/>
          <w:rFonts w:ascii="Times New Roman" w:hAnsi="Times New Roman" w:cs="Times New Roman"/>
          <w:sz w:val="24"/>
          <w:szCs w:val="24"/>
        </w:rPr>
        <w:t>.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Ces performances ouvrent des perspectives intéressantes d’un point de vue industriel et ont </w:t>
      </w:r>
      <w:r w:rsidR="00923644">
        <w:rPr>
          <w:rStyle w:val="jlqj4b"/>
          <w:rFonts w:ascii="Times New Roman" w:hAnsi="Times New Roman" w:cs="Times New Roman"/>
          <w:sz w:val="24"/>
          <w:szCs w:val="24"/>
        </w:rPr>
        <w:t>fait l’objet d’un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dépôt d</w:t>
      </w:r>
      <w:r w:rsidR="00923644">
        <w:rPr>
          <w:rStyle w:val="jlqj4b"/>
          <w:rFonts w:ascii="Times New Roman" w:hAnsi="Times New Roman" w:cs="Times New Roman"/>
          <w:sz w:val="24"/>
          <w:szCs w:val="24"/>
        </w:rPr>
        <w:t>e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brevet. Une étape de développement </w:t>
      </w:r>
      <w:r>
        <w:rPr>
          <w:rStyle w:val="jlqj4b"/>
          <w:rFonts w:ascii="Times New Roman" w:hAnsi="Times New Roman" w:cs="Times New Roman"/>
          <w:sz w:val="24"/>
          <w:szCs w:val="24"/>
        </w:rPr>
        <w:t>est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actuellement en cours avec le soutien de la SATT </w:t>
      </w:r>
      <w:proofErr w:type="spellStart"/>
      <w:r w:rsidRPr="007E168D">
        <w:rPr>
          <w:rStyle w:val="jlqj4b"/>
          <w:rFonts w:ascii="Times New Roman" w:hAnsi="Times New Roman" w:cs="Times New Roman"/>
          <w:sz w:val="24"/>
          <w:szCs w:val="24"/>
        </w:rPr>
        <w:t>AxLR</w:t>
      </w:r>
      <w:proofErr w:type="spellEnd"/>
      <w:r w:rsidRPr="007E168D">
        <w:rPr>
          <w:rStyle w:val="jlqj4b"/>
          <w:rFonts w:ascii="Times New Roman" w:hAnsi="Times New Roman" w:cs="Times New Roman"/>
          <w:sz w:val="24"/>
          <w:szCs w:val="24"/>
        </w:rPr>
        <w:t>.</w:t>
      </w:r>
    </w:p>
    <w:p w:rsidR="007E168D" w:rsidRPr="007E168D" w:rsidRDefault="007E168D" w:rsidP="00510F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68D" w:rsidRPr="007E168D" w:rsidRDefault="007E168D" w:rsidP="00510FC3">
      <w:pPr>
        <w:jc w:val="both"/>
        <w:rPr>
          <w:rStyle w:val="jlqj4b"/>
          <w:rFonts w:ascii="Times New Roman" w:hAnsi="Times New Roman" w:cs="Times New Roman"/>
          <w:sz w:val="24"/>
          <w:szCs w:val="24"/>
        </w:rPr>
      </w:pPr>
      <w:r w:rsidRPr="007E168D">
        <w:rPr>
          <w:rFonts w:ascii="Times New Roman" w:hAnsi="Times New Roman" w:cs="Times New Roman"/>
          <w:sz w:val="24"/>
          <w:szCs w:val="24"/>
        </w:rPr>
        <w:t xml:space="preserve">Ces travaux ont été publié à </w:t>
      </w:r>
      <w:r>
        <w:rPr>
          <w:rFonts w:ascii="Times New Roman" w:hAnsi="Times New Roman" w:cs="Times New Roman"/>
          <w:sz w:val="24"/>
          <w:szCs w:val="24"/>
        </w:rPr>
        <w:t>Nature Communications</w:t>
      </w:r>
      <w:r w:rsidRPr="007E168D">
        <w:rPr>
          <w:rFonts w:ascii="Times New Roman" w:hAnsi="Times New Roman" w:cs="Times New Roman"/>
          <w:sz w:val="24"/>
          <w:szCs w:val="24"/>
        </w:rPr>
        <w:t xml:space="preserve"> (</w:t>
      </w:r>
      <w:hyperlink r:id="rId4" w:history="1">
        <w:r w:rsidRPr="007E168D">
          <w:rPr>
            <w:rStyle w:val="Lienhypertexte"/>
            <w:rFonts w:ascii="Times New Roman" w:hAnsi="Times New Roman" w:cs="Times New Roman"/>
            <w:sz w:val="24"/>
            <w:szCs w:val="24"/>
          </w:rPr>
          <w:t>https://www.nature.com/articles/s41467-021-27456-5</w:t>
        </w:r>
      </w:hyperlink>
      <w:r>
        <w:rPr>
          <w:rFonts w:ascii="Times New Roman" w:hAnsi="Times New Roman" w:cs="Times New Roman"/>
          <w:sz w:val="24"/>
          <w:szCs w:val="24"/>
        </w:rPr>
        <w:t>; en accès libre</w:t>
      </w:r>
      <w:r w:rsidRPr="007E168D">
        <w:rPr>
          <w:rFonts w:ascii="Times New Roman" w:hAnsi="Times New Roman" w:cs="Times New Roman"/>
          <w:sz w:val="24"/>
          <w:szCs w:val="24"/>
        </w:rPr>
        <w:t>).</w:t>
      </w:r>
    </w:p>
    <w:p w:rsidR="007E168D" w:rsidRPr="007E168D" w:rsidRDefault="007E168D" w:rsidP="00510FC3">
      <w:pPr>
        <w:jc w:val="both"/>
        <w:rPr>
          <w:rStyle w:val="jlqj4b"/>
          <w:rFonts w:ascii="Times New Roman" w:hAnsi="Times New Roman" w:cs="Times New Roman"/>
          <w:sz w:val="24"/>
          <w:szCs w:val="24"/>
        </w:rPr>
      </w:pPr>
    </w:p>
    <w:p w:rsidR="007E168D" w:rsidRDefault="00923644" w:rsidP="00510FC3">
      <w:pPr>
        <w:jc w:val="both"/>
        <w:rPr>
          <w:rStyle w:val="jlqj4b"/>
          <w:rFonts w:ascii="Times New Roman" w:hAnsi="Times New Roman" w:cs="Times New Roman"/>
          <w:sz w:val="24"/>
          <w:szCs w:val="24"/>
        </w:rPr>
      </w:pPr>
      <w:r>
        <w:rPr>
          <w:rStyle w:val="jlqj4b"/>
          <w:rFonts w:ascii="Times New Roman" w:hAnsi="Times New Roman" w:cs="Times New Roman"/>
          <w:sz w:val="24"/>
          <w:szCs w:val="24"/>
        </w:rPr>
        <w:t>Ces travaux ont réalisé dans le cadre d’un projet</w:t>
      </w:r>
      <w:r w:rsidR="007E168D"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ERC </w:t>
      </w:r>
      <w:r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de la commission européenne </w:t>
      </w:r>
      <w:r w:rsidR="007E168D"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(projet : 2D-4-CO2, </w:t>
      </w:r>
      <w:proofErr w:type="spellStart"/>
      <w:r w:rsidR="007E168D" w:rsidRPr="007E168D">
        <w:rPr>
          <w:rStyle w:val="jlqj4b"/>
          <w:rFonts w:ascii="Times New Roman" w:hAnsi="Times New Roman" w:cs="Times New Roman"/>
          <w:sz w:val="24"/>
          <w:szCs w:val="24"/>
        </w:rPr>
        <w:t>grant</w:t>
      </w:r>
      <w:proofErr w:type="spellEnd"/>
      <w:r w:rsidR="007E168D"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agreement #</w:t>
      </w:r>
      <w:r w:rsidR="007E168D" w:rsidRPr="007E168D">
        <w:rPr>
          <w:rFonts w:ascii="Times New Roman" w:hAnsi="Times New Roman" w:cs="Times New Roman"/>
          <w:sz w:val="24"/>
          <w:szCs w:val="24"/>
        </w:rPr>
        <w:t xml:space="preserve"> 804320</w:t>
      </w:r>
      <w:r w:rsidR="007E168D"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) </w:t>
      </w:r>
      <w:r>
        <w:rPr>
          <w:rStyle w:val="jlqj4b"/>
          <w:rFonts w:ascii="Times New Roman" w:hAnsi="Times New Roman" w:cs="Times New Roman"/>
          <w:sz w:val="24"/>
          <w:szCs w:val="24"/>
        </w:rPr>
        <w:t xml:space="preserve">sur </w:t>
      </w:r>
      <w:r w:rsidR="007E168D" w:rsidRPr="007E168D">
        <w:rPr>
          <w:rStyle w:val="jlqj4b"/>
          <w:rFonts w:ascii="Times New Roman" w:hAnsi="Times New Roman" w:cs="Times New Roman"/>
          <w:sz w:val="24"/>
          <w:szCs w:val="24"/>
        </w:rPr>
        <w:t>la réaction électrochimique de réduction du CO</w:t>
      </w:r>
      <w:r w:rsidR="007E168D" w:rsidRPr="00923644">
        <w:rPr>
          <w:rStyle w:val="jlqj4b"/>
          <w:rFonts w:ascii="Times New Roman" w:hAnsi="Times New Roman" w:cs="Times New Roman"/>
          <w:sz w:val="24"/>
          <w:szCs w:val="24"/>
          <w:vertAlign w:val="subscript"/>
        </w:rPr>
        <w:t>2</w:t>
      </w:r>
      <w:r w:rsidR="007E168D" w:rsidRPr="007E168D">
        <w:rPr>
          <w:rStyle w:val="jlqj4b"/>
          <w:rFonts w:ascii="Times New Roman" w:hAnsi="Times New Roman" w:cs="Times New Roman"/>
          <w:sz w:val="24"/>
          <w:szCs w:val="24"/>
        </w:rPr>
        <w:t xml:space="preserve"> (CO</w:t>
      </w:r>
      <w:r w:rsidR="007E168D" w:rsidRPr="00923644">
        <w:rPr>
          <w:rStyle w:val="jlqj4b"/>
          <w:rFonts w:ascii="Times New Roman" w:hAnsi="Times New Roman" w:cs="Times New Roman"/>
          <w:sz w:val="24"/>
          <w:szCs w:val="24"/>
          <w:vertAlign w:val="subscript"/>
        </w:rPr>
        <w:t>2</w:t>
      </w:r>
      <w:r w:rsidR="007E168D" w:rsidRPr="007E168D">
        <w:rPr>
          <w:rStyle w:val="jlqj4b"/>
          <w:rFonts w:ascii="Times New Roman" w:hAnsi="Times New Roman" w:cs="Times New Roman"/>
          <w:sz w:val="24"/>
          <w:szCs w:val="24"/>
        </w:rPr>
        <w:t>RR) à pression et température ambiante.</w:t>
      </w:r>
    </w:p>
    <w:p w:rsidR="00923644" w:rsidRPr="007E168D" w:rsidRDefault="00923644" w:rsidP="00510FC3">
      <w:pPr>
        <w:jc w:val="both"/>
        <w:rPr>
          <w:rStyle w:val="jlqj4b"/>
          <w:rFonts w:ascii="Times New Roman" w:hAnsi="Times New Roman" w:cs="Times New Roman"/>
          <w:sz w:val="24"/>
          <w:szCs w:val="24"/>
        </w:rPr>
      </w:pPr>
    </w:p>
    <w:p w:rsidR="007F4FCC" w:rsidRPr="007E168D" w:rsidRDefault="007E168D" w:rsidP="00510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E168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5A892D2" wp14:editId="0B7B78B9">
            <wp:extent cx="5717949" cy="156251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93" t="26823" r="17844" b="36274"/>
                    <a:stretch/>
                  </pic:blipFill>
                  <pic:spPr bwMode="auto">
                    <a:xfrm>
                      <a:off x="0" y="0"/>
                      <a:ext cx="5757921" cy="157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FCC" w:rsidRPr="007E168D" w:rsidRDefault="007F4FCC" w:rsidP="00510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F4FCC" w:rsidRPr="007E168D" w:rsidRDefault="007F4FCC" w:rsidP="00510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7F4FCC" w:rsidRPr="007E1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6EC"/>
    <w:rsid w:val="00122905"/>
    <w:rsid w:val="00504142"/>
    <w:rsid w:val="00510FC3"/>
    <w:rsid w:val="007E168D"/>
    <w:rsid w:val="007F4FCC"/>
    <w:rsid w:val="00923644"/>
    <w:rsid w:val="00A676EC"/>
    <w:rsid w:val="00B67095"/>
    <w:rsid w:val="00D6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A2C4CE-57D6-4917-8969-DB16134CE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A676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76E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jlqj4b">
    <w:name w:val="jlqj4b"/>
    <w:basedOn w:val="Policepardfaut"/>
    <w:rsid w:val="00A676EC"/>
  </w:style>
  <w:style w:type="character" w:styleId="Lienhypertexte">
    <w:name w:val="Hyperlink"/>
    <w:basedOn w:val="Policepardfaut"/>
    <w:uiPriority w:val="99"/>
    <w:unhideWhenUsed/>
    <w:rsid w:val="00122905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7F4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F4FC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7F4FCC"/>
  </w:style>
  <w:style w:type="character" w:customStyle="1" w:styleId="viiyi">
    <w:name w:val="viiyi"/>
    <w:basedOn w:val="Policepardfaut"/>
    <w:rsid w:val="007F4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1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5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6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4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nature.com/articles/s41467-021-27456-5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7A6E41CB</Template>
  <TotalTime>0</TotalTime>
  <Pages>1</Pages>
  <Words>334</Words>
  <Characters>1841</Characters>
  <Application>Microsoft Office Word</Application>
  <DocSecurity>4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iem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Voiry</dc:creator>
  <cp:keywords/>
  <dc:description/>
  <cp:lastModifiedBy>Christelle Floutier</cp:lastModifiedBy>
  <cp:revision>2</cp:revision>
  <dcterms:created xsi:type="dcterms:W3CDTF">2021-12-16T12:32:00Z</dcterms:created>
  <dcterms:modified xsi:type="dcterms:W3CDTF">2021-12-16T12:32:00Z</dcterms:modified>
</cp:coreProperties>
</file>