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Gas separations using continuous adsorption processes</w:t>
      </w:r>
    </w:p>
    <w:p>
      <w:pPr>
        <w:spacing w:before="0" w:after="240" w:line="240"/>
        <w:ind w:right="0" w:left="0" w:firstLine="0"/>
        <w:jc w:val="center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Ahmed H. Elashkar, Gavin S. Hedley, Samuel J. Edens, Omid T. Qazvini, Shane G. Telfer,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u w:val="single"/>
          <w:shd w:fill="auto" w:val="clear"/>
        </w:rPr>
        <w:t xml:space="preserve">Matthew G. Cowan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, University of Canterbury, New Zealand </w:t>
        <w:br/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 last 20 years has seen an explosion in the number of publications investigating porous solids for gas adsorption and separation. Including discovery of new materials such as metal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organic frameworks, covalent organic frameworks, synthetic zeolites, and non-porous adsorbents.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 this talk, we highlight the use of a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bound visualization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(Figure 1) that empirically correlates the trade-offs encountered when designing adsorbent materials for gas separation, specifically: capacity, selectivity, and heat of adsorption.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perscript"/>
        </w:rPr>
        <w:t xml:space="preserve">1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object w:dxaOrig="6840" w:dyaOrig="3420">
          <v:rect xmlns:o="urn:schemas-microsoft-com:office:office" xmlns:v="urn:schemas-microsoft-com:vml" id="rectole0000000000" style="width:342.000000pt;height:17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Figure 1.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The upper bound visualization for the trade-off between selectivity and capacity in materials for ethylene/ethane gas adsorption.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We apply bound visualizations to adsorbents studied for light alkene/alkane separations and a variety of other gas pairs (CO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CH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bscript"/>
        </w:rPr>
        <w:t xml:space="preserve">4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  <w:vertAlign w:val="subscript"/>
        </w:rPr>
        <w:t xml:space="preserve">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, etc.). We highlight their use in identifying candidate materials for examination within process models, elucidating structural design principles for adsorbent materials, and the limitations of upper and lower bound visualizations.</w:t>
      </w: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1.</w:t>
        <w:tab/>
        <w:t xml:space="preserve">Elashkar, A. H.; Hedley, G. S.; Qazvini, O. T.; Telfer, S. G.; Cowan, M. G., An upper bound visualization of design trade-offs in adsorbent materials for gas separations: alkene/alkane adsorbents.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Chemical Communications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2021,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57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(57), 6950-6959.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